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3E" w:rsidRDefault="00B3503E" w:rsidP="00B3503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3503E">
        <w:rPr>
          <w:rFonts w:ascii="Times New Roman" w:hAnsi="Times New Roman" w:cs="Times New Roman"/>
          <w:sz w:val="28"/>
          <w:szCs w:val="28"/>
        </w:rPr>
        <w:t>Форма количественного мониторинга деятельности Школьной службы примирения</w:t>
      </w:r>
    </w:p>
    <w:p w:rsidR="00CA381E" w:rsidRPr="00CA381E" w:rsidRDefault="00CA381E" w:rsidP="00CA381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976"/>
        <w:gridCol w:w="867"/>
        <w:gridCol w:w="708"/>
        <w:gridCol w:w="1085"/>
        <w:gridCol w:w="710"/>
        <w:gridCol w:w="615"/>
        <w:gridCol w:w="709"/>
      </w:tblGrid>
      <w:tr w:rsidR="0036716B" w:rsidRPr="009E79E0" w:rsidTr="0036716B">
        <w:trPr>
          <w:trHeight w:val="879"/>
        </w:trPr>
        <w:tc>
          <w:tcPr>
            <w:tcW w:w="709" w:type="dxa"/>
            <w:vMerge w:val="restart"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b/>
                <w:szCs w:val="22"/>
                <w:lang w:eastAsia="ru-RU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ru-RU"/>
              </w:rPr>
              <w:t>Число членов служб примирения</w:t>
            </w: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Количество поступивших случ</w:t>
            </w:r>
            <w:r w:rsidRPr="009E79E0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а</w:t>
            </w:r>
            <w:r w:rsidRPr="009E79E0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>П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рекращение уголовного дела за прим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и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рением</w:t>
            </w:r>
            <w:r>
              <w:rPr>
                <w:rFonts w:eastAsia="Times New Roman" w:cs="Arial"/>
                <w:sz w:val="22"/>
                <w:szCs w:val="22"/>
                <w:lang w:eastAsia="ru-RU"/>
              </w:rPr>
              <w:t xml:space="preserve"> сторон 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 xml:space="preserve"> после </w:t>
            </w:r>
            <w:r>
              <w:rPr>
                <w:rFonts w:eastAsia="Times New Roman" w:cs="Arial"/>
                <w:sz w:val="22"/>
                <w:szCs w:val="22"/>
                <w:lang w:eastAsia="ru-RU"/>
              </w:rPr>
              <w:t>медиации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b/>
                <w:bCs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bCs/>
                <w:sz w:val="22"/>
                <w:szCs w:val="22"/>
                <w:lang w:eastAsia="ru-RU"/>
              </w:rPr>
              <w:t>Количество завершённых программ</w:t>
            </w:r>
          </w:p>
        </w:tc>
        <w:tc>
          <w:tcPr>
            <w:tcW w:w="1085" w:type="dxa"/>
            <w:vMerge w:val="restart"/>
            <w:shd w:val="clear" w:color="auto" w:fill="auto"/>
            <w:textDirection w:val="btLr"/>
          </w:tcPr>
          <w:p w:rsidR="0036716B" w:rsidRPr="009E79E0" w:rsidRDefault="0036716B" w:rsidP="0021280F">
            <w:pPr>
              <w:ind w:left="113" w:right="113"/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Количество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 xml:space="preserve"> случаев, рассматриваемых с участием специалистов из территориал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ь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ных служб примирения (ТСП)</w:t>
            </w:r>
          </w:p>
        </w:tc>
        <w:tc>
          <w:tcPr>
            <w:tcW w:w="2034" w:type="dxa"/>
            <w:gridSpan w:val="3"/>
            <w:vMerge w:val="restart"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b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 xml:space="preserve">Общее </w:t>
            </w:r>
            <w:r>
              <w:rPr>
                <w:rFonts w:eastAsia="Times New Roman" w:cs="Arial"/>
                <w:b/>
                <w:sz w:val="22"/>
                <w:szCs w:val="22"/>
                <w:lang w:eastAsia="ru-RU"/>
              </w:rPr>
              <w:t>число</w:t>
            </w: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 xml:space="preserve"> уч</w:t>
            </w: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а</w:t>
            </w: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стников пр</w:t>
            </w: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о</w:t>
            </w: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 xml:space="preserve">грамм </w:t>
            </w:r>
          </w:p>
          <w:p w:rsidR="0036716B" w:rsidRPr="009E79E0" w:rsidRDefault="0036716B" w:rsidP="0021280F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(в том числе: н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а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рушителей, зако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н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ных представит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е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лей, участников Круга и т.д.</w:t>
            </w:r>
            <w:r>
              <w:rPr>
                <w:rFonts w:eastAsia="Times New Roman" w:cs="Arial"/>
                <w:sz w:val="22"/>
                <w:szCs w:val="22"/>
                <w:lang w:eastAsia="ru-RU"/>
              </w:rPr>
              <w:t xml:space="preserve"> кроме медиаторов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)</w:t>
            </w:r>
          </w:p>
        </w:tc>
      </w:tr>
      <w:tr w:rsidR="0036716B" w:rsidRPr="00B13ECE" w:rsidTr="0036716B">
        <w:trPr>
          <w:cantSplit/>
          <w:trHeight w:val="315"/>
        </w:trPr>
        <w:tc>
          <w:tcPr>
            <w:tcW w:w="709" w:type="dxa"/>
            <w:vMerge/>
            <w:vAlign w:val="center"/>
          </w:tcPr>
          <w:p w:rsidR="0036716B" w:rsidRPr="00F2680A" w:rsidRDefault="0036716B" w:rsidP="0021280F">
            <w:pPr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6716B" w:rsidRPr="009E79E0" w:rsidRDefault="0036716B" w:rsidP="0036716B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медиаторов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>Участники службы примирения</w:t>
            </w:r>
          </w:p>
        </w:tc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36716B" w:rsidRPr="009E79E0" w:rsidRDefault="0036716B" w:rsidP="0036716B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из них по случаям,</w:t>
            </w:r>
          </w:p>
          <w:p w:rsidR="0036716B" w:rsidRPr="009E79E0" w:rsidRDefault="0036716B" w:rsidP="0036716B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зарегистрированным в: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6716B" w:rsidRPr="009E79E0" w:rsidRDefault="0036716B" w:rsidP="0021280F">
            <w:pPr>
              <w:ind w:left="113" w:right="113"/>
              <w:jc w:val="center"/>
              <w:rPr>
                <w:rFonts w:eastAsia="Times New Roman" w:cs="Arial"/>
                <w:b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36716B" w:rsidRPr="009E79E0" w:rsidRDefault="0036716B" w:rsidP="0021280F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jc w:val="center"/>
              <w:rPr>
                <w:rFonts w:eastAsia="Times New Roman" w:cs="Arial"/>
                <w:b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85" w:type="dxa"/>
            <w:vMerge/>
            <w:vAlign w:val="center"/>
          </w:tcPr>
          <w:p w:rsidR="0036716B" w:rsidRPr="009E79E0" w:rsidRDefault="0036716B" w:rsidP="0021280F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36716B" w:rsidRPr="009E79E0" w:rsidRDefault="0036716B" w:rsidP="0021280F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</w:tr>
      <w:tr w:rsidR="0036716B" w:rsidRPr="00B13ECE" w:rsidTr="0036716B">
        <w:trPr>
          <w:trHeight w:val="533"/>
        </w:trPr>
        <w:tc>
          <w:tcPr>
            <w:tcW w:w="709" w:type="dxa"/>
            <w:vMerge/>
            <w:vAlign w:val="center"/>
          </w:tcPr>
          <w:p w:rsidR="0036716B" w:rsidRPr="00F2680A" w:rsidRDefault="0036716B" w:rsidP="0021280F">
            <w:pPr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textDirection w:val="tbRl"/>
          </w:tcPr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"/>
          </w:tcPr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6716B" w:rsidRPr="009E79E0" w:rsidRDefault="0036716B" w:rsidP="0021280F">
            <w:pPr>
              <w:jc w:val="center"/>
              <w:rPr>
                <w:rFonts w:eastAsia="Times New Roman" w:cs="Arial"/>
                <w:b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6716B" w:rsidRPr="009E79E0" w:rsidRDefault="0036716B" w:rsidP="0021280F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>М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едиация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Школьная конференция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Круги сообщества</w:t>
            </w:r>
          </w:p>
        </w:tc>
        <w:tc>
          <w:tcPr>
            <w:tcW w:w="976" w:type="dxa"/>
            <w:vMerge w:val="restart"/>
            <w:shd w:val="clear" w:color="auto" w:fill="auto"/>
            <w:textDirection w:val="btLr"/>
          </w:tcPr>
          <w:p w:rsidR="0036716B" w:rsidRPr="00BB6C12" w:rsidRDefault="0036716B" w:rsidP="0021280F">
            <w:pPr>
              <w:ind w:left="113" w:right="113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6C12">
              <w:rPr>
                <w:sz w:val="22"/>
                <w:szCs w:val="22"/>
              </w:rPr>
              <w:t>рофилактически</w:t>
            </w:r>
            <w:r>
              <w:rPr>
                <w:sz w:val="22"/>
                <w:szCs w:val="22"/>
              </w:rPr>
              <w:t>е</w:t>
            </w:r>
            <w:r w:rsidRPr="00BB6C12">
              <w:rPr>
                <w:sz w:val="22"/>
                <w:szCs w:val="22"/>
              </w:rPr>
              <w:t xml:space="preserve"> «круг</w:t>
            </w:r>
            <w:r>
              <w:rPr>
                <w:sz w:val="22"/>
                <w:szCs w:val="22"/>
              </w:rPr>
              <w:t>и</w:t>
            </w:r>
            <w:r w:rsidRPr="00BB6C1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по потенциально конфлик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 ситуациям</w:t>
            </w:r>
          </w:p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867" w:type="dxa"/>
            <w:vMerge w:val="restart"/>
            <w:shd w:val="clear" w:color="auto" w:fill="auto"/>
            <w:textDirection w:val="btLr"/>
          </w:tcPr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 w:rsidRPr="00C545A6">
              <w:rPr>
                <w:rFonts w:eastAsia="Times New Roman" w:cs="Arial"/>
                <w:sz w:val="22"/>
                <w:szCs w:val="22"/>
                <w:lang w:eastAsia="ru-RU"/>
              </w:rPr>
              <w:t>Другое (</w:t>
            </w:r>
            <w:r>
              <w:rPr>
                <w:rFonts w:eastAsia="Times New Roman" w:cs="Arial"/>
                <w:sz w:val="22"/>
                <w:szCs w:val="22"/>
                <w:lang w:eastAsia="ru-RU"/>
              </w:rPr>
              <w:t xml:space="preserve">что именно, </w:t>
            </w:r>
            <w:r w:rsidRPr="00C545A6">
              <w:rPr>
                <w:rFonts w:eastAsia="Times New Roman" w:cs="Arial"/>
                <w:sz w:val="22"/>
                <w:szCs w:val="22"/>
                <w:lang w:eastAsia="ru-RU"/>
              </w:rPr>
              <w:t>указать после таблицы)</w:t>
            </w:r>
          </w:p>
        </w:tc>
        <w:tc>
          <w:tcPr>
            <w:tcW w:w="708" w:type="dxa"/>
            <w:vMerge/>
            <w:shd w:val="clear" w:color="auto" w:fill="auto"/>
            <w:textDirection w:val="tbRl"/>
          </w:tcPr>
          <w:p w:rsidR="0036716B" w:rsidRPr="009E79E0" w:rsidRDefault="0036716B" w:rsidP="0021280F">
            <w:pPr>
              <w:ind w:left="113" w:right="113"/>
              <w:rPr>
                <w:rFonts w:eastAsia="Times New Roman" w:cs="Arial"/>
                <w:b/>
                <w:szCs w:val="22"/>
                <w:lang w:eastAsia="ru-RU"/>
              </w:rPr>
            </w:pPr>
          </w:p>
        </w:tc>
        <w:tc>
          <w:tcPr>
            <w:tcW w:w="1085" w:type="dxa"/>
            <w:vMerge/>
            <w:vAlign w:val="center"/>
          </w:tcPr>
          <w:p w:rsidR="0036716B" w:rsidRPr="009E79E0" w:rsidRDefault="0036716B" w:rsidP="0021280F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36716B" w:rsidRPr="009E79E0" w:rsidRDefault="0036716B" w:rsidP="0021280F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</w:tr>
      <w:tr w:rsidR="0036716B" w:rsidRPr="00B13ECE" w:rsidTr="0036716B">
        <w:trPr>
          <w:trHeight w:val="658"/>
        </w:trPr>
        <w:tc>
          <w:tcPr>
            <w:tcW w:w="709" w:type="dxa"/>
            <w:vMerge/>
            <w:vAlign w:val="center"/>
          </w:tcPr>
          <w:p w:rsidR="0036716B" w:rsidRPr="00F2680A" w:rsidRDefault="0036716B" w:rsidP="0021280F">
            <w:pPr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>В</w:t>
            </w: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зрослых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>Из обучающихся</w:t>
            </w:r>
          </w:p>
        </w:tc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b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:rsidR="0036716B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tbRl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  <w:textDirection w:val="tbRl"/>
            <w:vAlign w:val="center"/>
          </w:tcPr>
          <w:p w:rsidR="0036716B" w:rsidRDefault="0036716B" w:rsidP="0036716B">
            <w:pPr>
              <w:ind w:left="113" w:right="113"/>
              <w:rPr>
                <w:szCs w:val="22"/>
              </w:rPr>
            </w:pPr>
          </w:p>
        </w:tc>
        <w:tc>
          <w:tcPr>
            <w:tcW w:w="867" w:type="dxa"/>
            <w:vMerge/>
            <w:shd w:val="clear" w:color="auto" w:fill="auto"/>
            <w:textDirection w:val="tbRl"/>
            <w:vAlign w:val="center"/>
          </w:tcPr>
          <w:p w:rsidR="0036716B" w:rsidRPr="00C545A6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tbRl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b/>
                <w:szCs w:val="22"/>
                <w:lang w:eastAsia="ru-RU"/>
              </w:rPr>
            </w:pPr>
          </w:p>
        </w:tc>
        <w:tc>
          <w:tcPr>
            <w:tcW w:w="1085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</w:tr>
      <w:tr w:rsidR="0036716B" w:rsidRPr="00B13ECE" w:rsidTr="0036716B">
        <w:trPr>
          <w:cantSplit/>
          <w:trHeight w:val="1722"/>
        </w:trPr>
        <w:tc>
          <w:tcPr>
            <w:tcW w:w="709" w:type="dxa"/>
            <w:vMerge/>
            <w:vAlign w:val="center"/>
          </w:tcPr>
          <w:p w:rsidR="0036716B" w:rsidRPr="00F2680A" w:rsidRDefault="0036716B" w:rsidP="0021280F">
            <w:pPr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>
              <w:rPr>
                <w:rFonts w:eastAsia="Times New Roman" w:cs="Arial"/>
                <w:sz w:val="22"/>
                <w:szCs w:val="22"/>
                <w:lang w:eastAsia="ru-RU"/>
              </w:rPr>
              <w:t>ОО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ПДН</w:t>
            </w:r>
            <w:r>
              <w:rPr>
                <w:rFonts w:eastAsia="Times New Roman" w:cs="Arial"/>
                <w:sz w:val="22"/>
                <w:szCs w:val="22"/>
                <w:lang w:eastAsia="ru-RU"/>
              </w:rPr>
              <w:t>/ ОДН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proofErr w:type="spellStart"/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КДНиЗП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1085" w:type="dxa"/>
            <w:vMerge/>
            <w:vAlign w:val="center"/>
          </w:tcPr>
          <w:p w:rsidR="0036716B" w:rsidRPr="009E79E0" w:rsidRDefault="0036716B" w:rsidP="0036716B">
            <w:pPr>
              <w:rPr>
                <w:rFonts w:eastAsia="Times New Roman" w:cs="Arial"/>
                <w:szCs w:val="22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взрослых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szCs w:val="22"/>
                <w:lang w:eastAsia="ru-RU"/>
              </w:rPr>
            </w:pPr>
            <w:r w:rsidRPr="009E79E0">
              <w:rPr>
                <w:rFonts w:eastAsia="Times New Roman" w:cs="Arial"/>
                <w:sz w:val="22"/>
                <w:szCs w:val="22"/>
                <w:lang w:eastAsia="ru-RU"/>
              </w:rPr>
              <w:t>подростков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6716B" w:rsidRPr="009E79E0" w:rsidRDefault="0036716B" w:rsidP="0036716B">
            <w:pPr>
              <w:ind w:left="113" w:right="113"/>
              <w:rPr>
                <w:rFonts w:eastAsia="Times New Roman" w:cs="Arial"/>
                <w:b/>
                <w:szCs w:val="22"/>
                <w:lang w:eastAsia="ru-RU"/>
              </w:rPr>
            </w:pPr>
            <w:r w:rsidRPr="009E79E0">
              <w:rPr>
                <w:rFonts w:eastAsia="Times New Roman" w:cs="Arial"/>
                <w:b/>
                <w:sz w:val="22"/>
                <w:szCs w:val="22"/>
                <w:lang w:eastAsia="ru-RU"/>
              </w:rPr>
              <w:t>Всего</w:t>
            </w:r>
          </w:p>
        </w:tc>
      </w:tr>
      <w:tr w:rsidR="0036716B" w:rsidRPr="00B13ECE" w:rsidTr="0036716B">
        <w:trPr>
          <w:trHeight w:val="271"/>
        </w:trPr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F2680A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6716B" w:rsidRPr="00F2680A" w:rsidRDefault="00CA381E" w:rsidP="0021280F">
            <w:pPr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20</w:t>
            </w:r>
          </w:p>
        </w:tc>
      </w:tr>
      <w:tr w:rsidR="0036716B" w:rsidRPr="00AA49DF" w:rsidTr="0036716B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716B" w:rsidRPr="00F2680A" w:rsidRDefault="0036716B" w:rsidP="0021280F">
            <w:pPr>
              <w:jc w:val="center"/>
              <w:rPr>
                <w:rFonts w:eastAsia="Times New Roman" w:cs="Arial"/>
                <w:szCs w:val="18"/>
                <w:lang w:eastAsia="ru-RU"/>
              </w:rPr>
            </w:pPr>
          </w:p>
        </w:tc>
      </w:tr>
    </w:tbl>
    <w:p w:rsidR="00B3503E" w:rsidRDefault="00B3503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/>
    <w:p w:rsidR="00CA381E" w:rsidRDefault="00CA381E">
      <w:pPr>
        <w:sectPr w:rsidR="00CA381E" w:rsidSect="00B3503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A381E" w:rsidRPr="006408D5" w:rsidRDefault="00CA381E" w:rsidP="00CA381E">
      <w:pPr>
        <w:rPr>
          <w:b/>
        </w:rPr>
      </w:pPr>
      <w:r w:rsidRPr="00FD41FC">
        <w:rPr>
          <w:b/>
        </w:rPr>
        <w:lastRenderedPageBreak/>
        <w:t>Пояснения по заполнению</w:t>
      </w:r>
      <w:r>
        <w:rPr>
          <w:b/>
        </w:rPr>
        <w:t xml:space="preserve">: </w:t>
      </w:r>
    </w:p>
    <w:p w:rsidR="00CA381E" w:rsidRPr="00C537C7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 w:rsidRPr="00C537C7">
        <w:t>не заполнять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Общее число взрослых медиаторов. Медиатором является человек, прошедший подготовку по восстановительной медиации и проводящий программы ВМ (как минимум одну).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Общее число медиаторов-школьников   («медиаторов- ровесников», «юных медиаторов).</w:t>
      </w:r>
      <w:r w:rsidRPr="00571818">
        <w:t xml:space="preserve"> </w:t>
      </w:r>
      <w:r>
        <w:t>Медиатором является человек, прошедший подготовку по восстановительной медиации и проводящий программы ВМ (как минимум одну).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Участники службы примирения – взрослые и обучающиеся ОУ, которые входят в службу примирения, но медиации либо другие восстановительные программы не проводили.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К</w:t>
      </w:r>
      <w:r w:rsidRPr="004848B2">
        <w:t>оличество</w:t>
      </w:r>
      <w:r>
        <w:t xml:space="preserve"> поступивших  в школьную службу примирения случаев из образовательной о</w:t>
      </w:r>
      <w:r>
        <w:t>р</w:t>
      </w:r>
      <w:r>
        <w:t>ганизации.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К</w:t>
      </w:r>
      <w:r w:rsidRPr="004848B2">
        <w:t>оличество</w:t>
      </w:r>
      <w:r>
        <w:t xml:space="preserve"> поступивших  в школьную службу примирения случаев из подразделения  (отд</w:t>
      </w:r>
      <w:r>
        <w:t>е</w:t>
      </w:r>
      <w:r>
        <w:t>ления) по делам несовершеннолетних (полиции)</w:t>
      </w:r>
      <w:r w:rsidRPr="002A14D4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(если не  было, ставится 0).</w:t>
      </w:r>
    </w:p>
    <w:p w:rsidR="00CA381E" w:rsidRPr="00915F72" w:rsidRDefault="00CA381E" w:rsidP="00CA381E">
      <w:pPr>
        <w:numPr>
          <w:ilvl w:val="0"/>
          <w:numId w:val="1"/>
        </w:numPr>
        <w:tabs>
          <w:tab w:val="clear" w:pos="720"/>
        </w:tabs>
        <w:ind w:left="284"/>
        <w:rPr>
          <w:rFonts w:eastAsia="Times New Roman" w:cs="Arial"/>
          <w:sz w:val="22"/>
          <w:szCs w:val="22"/>
          <w:lang w:eastAsia="ru-RU"/>
        </w:rPr>
      </w:pPr>
      <w:r>
        <w:t>К</w:t>
      </w:r>
      <w:r w:rsidRPr="004848B2">
        <w:t>оличество</w:t>
      </w:r>
      <w:r>
        <w:t xml:space="preserve"> поступивших  в школьную службу примирения случаев из Комиссии по делам несовершеннолетних и защите их прав </w:t>
      </w:r>
      <w:r>
        <w:rPr>
          <w:rFonts w:eastAsia="Times New Roman" w:cs="Arial"/>
          <w:szCs w:val="24"/>
          <w:lang w:eastAsia="ru-RU"/>
        </w:rPr>
        <w:t>(если не  было, ставится 0).</w:t>
      </w:r>
    </w:p>
    <w:p w:rsidR="00CA381E" w:rsidRPr="00915F72" w:rsidRDefault="00CA381E" w:rsidP="00CA381E">
      <w:pPr>
        <w:numPr>
          <w:ilvl w:val="0"/>
          <w:numId w:val="1"/>
        </w:numPr>
        <w:tabs>
          <w:tab w:val="clear" w:pos="720"/>
        </w:tabs>
        <w:ind w:left="284"/>
        <w:rPr>
          <w:rFonts w:eastAsia="Times New Roman" w:cs="Arial"/>
          <w:sz w:val="22"/>
          <w:szCs w:val="22"/>
          <w:lang w:eastAsia="ru-RU"/>
        </w:rPr>
      </w:pPr>
      <w:r>
        <w:t>К</w:t>
      </w:r>
      <w:r w:rsidRPr="004848B2">
        <w:t>оличество</w:t>
      </w:r>
      <w:r>
        <w:t xml:space="preserve"> поступивших  в школьную службу примирения случаев из школы из других и</w:t>
      </w:r>
      <w:r>
        <w:t>с</w:t>
      </w:r>
      <w:r>
        <w:t xml:space="preserve">точников </w:t>
      </w:r>
      <w:r>
        <w:rPr>
          <w:rFonts w:eastAsia="Times New Roman" w:cs="Arial"/>
          <w:szCs w:val="24"/>
          <w:lang w:eastAsia="ru-RU"/>
        </w:rPr>
        <w:t>(если не  было, ставится 0).</w:t>
      </w:r>
    </w:p>
    <w:p w:rsidR="00CA381E" w:rsidRPr="00915F72" w:rsidRDefault="00CA381E" w:rsidP="00CA381E">
      <w:pPr>
        <w:numPr>
          <w:ilvl w:val="0"/>
          <w:numId w:val="1"/>
        </w:numPr>
        <w:tabs>
          <w:tab w:val="clear" w:pos="720"/>
        </w:tabs>
        <w:ind w:left="284"/>
        <w:rPr>
          <w:rFonts w:eastAsia="Times New Roman" w:cs="Arial"/>
          <w:sz w:val="22"/>
          <w:szCs w:val="22"/>
          <w:lang w:eastAsia="ru-RU"/>
        </w:rPr>
      </w:pPr>
      <w:r>
        <w:t>Общее число поступивших  в школьную службу примирения случаев.</w:t>
      </w:r>
    </w:p>
    <w:p w:rsidR="00CA381E" w:rsidRPr="00A71AF6" w:rsidRDefault="00CA381E" w:rsidP="00CA381E">
      <w:pPr>
        <w:numPr>
          <w:ilvl w:val="0"/>
          <w:numId w:val="1"/>
        </w:numPr>
        <w:tabs>
          <w:tab w:val="clear" w:pos="720"/>
        </w:tabs>
        <w:ind w:left="284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По скольким делам было </w:t>
      </w:r>
      <w:r w:rsidRPr="00A71AF6">
        <w:rPr>
          <w:rFonts w:eastAsia="Times New Roman" w:cs="Arial"/>
          <w:szCs w:val="24"/>
          <w:lang w:eastAsia="ru-RU"/>
        </w:rPr>
        <w:t>прекраще</w:t>
      </w:r>
      <w:r>
        <w:rPr>
          <w:rFonts w:eastAsia="Times New Roman" w:cs="Arial"/>
          <w:szCs w:val="24"/>
          <w:lang w:eastAsia="ru-RU"/>
        </w:rPr>
        <w:t>ны</w:t>
      </w:r>
      <w:r w:rsidRPr="00A71AF6">
        <w:rPr>
          <w:rFonts w:eastAsia="Times New Roman" w:cs="Arial"/>
          <w:szCs w:val="24"/>
          <w:lang w:eastAsia="ru-RU"/>
        </w:rPr>
        <w:t xml:space="preserve"> уголовн</w:t>
      </w:r>
      <w:r>
        <w:rPr>
          <w:rFonts w:eastAsia="Times New Roman" w:cs="Arial"/>
          <w:szCs w:val="24"/>
          <w:lang w:eastAsia="ru-RU"/>
        </w:rPr>
        <w:t>ые</w:t>
      </w:r>
      <w:r w:rsidRPr="00A71AF6">
        <w:rPr>
          <w:rFonts w:eastAsia="Times New Roman" w:cs="Arial"/>
          <w:szCs w:val="24"/>
          <w:lang w:eastAsia="ru-RU"/>
        </w:rPr>
        <w:t xml:space="preserve"> дела за примирением сторон после пров</w:t>
      </w:r>
      <w:r w:rsidRPr="00A71AF6">
        <w:rPr>
          <w:rFonts w:eastAsia="Times New Roman" w:cs="Arial"/>
          <w:szCs w:val="24"/>
          <w:lang w:eastAsia="ru-RU"/>
        </w:rPr>
        <w:t>е</w:t>
      </w:r>
      <w:r w:rsidRPr="00A71AF6">
        <w:rPr>
          <w:rFonts w:eastAsia="Times New Roman" w:cs="Arial"/>
          <w:szCs w:val="24"/>
          <w:lang w:eastAsia="ru-RU"/>
        </w:rPr>
        <w:t>денной медиации</w:t>
      </w:r>
      <w:r>
        <w:rPr>
          <w:rFonts w:eastAsia="Times New Roman" w:cs="Arial"/>
          <w:szCs w:val="24"/>
          <w:lang w:eastAsia="ru-RU"/>
        </w:rPr>
        <w:t xml:space="preserve"> (если не  было, ставится 0).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 w:rsidRPr="00B27153">
        <w:t>Количество завершенных программ. Завершенной считается программа</w:t>
      </w:r>
      <w:proofErr w:type="gramStart"/>
      <w:r w:rsidRPr="00B27153">
        <w:t xml:space="preserve"> </w:t>
      </w:r>
      <w:r>
        <w:t>,</w:t>
      </w:r>
      <w:proofErr w:type="gramEnd"/>
      <w:r>
        <w:t xml:space="preserve"> в которой </w:t>
      </w:r>
      <w:r w:rsidRPr="00384F5A">
        <w:t>стороны урегулировали ситуацию  (или стороны составили план по уре</w:t>
      </w:r>
      <w:r>
        <w:t>гулированию ситуации)</w:t>
      </w:r>
      <w:r w:rsidRPr="00384F5A">
        <w:t xml:space="preserve"> </w:t>
      </w:r>
      <w:r>
        <w:t>и при этом  были реализованы принципы восстановительного правосудия (восстановительной м</w:t>
      </w:r>
      <w:r>
        <w:t>е</w:t>
      </w:r>
      <w:r>
        <w:t xml:space="preserve">диации). </w:t>
      </w:r>
      <w:r w:rsidRPr="00B27153">
        <w:t xml:space="preserve">   В данном столбике </w:t>
      </w:r>
      <w:r>
        <w:t xml:space="preserve"> - к</w:t>
      </w:r>
      <w:r w:rsidRPr="004848B2">
        <w:t>оличество</w:t>
      </w:r>
      <w:r>
        <w:t xml:space="preserve"> завершенных </w:t>
      </w:r>
      <w:r w:rsidRPr="00B27153">
        <w:t xml:space="preserve">  восстановительных медиаций.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Аналогично предыдущему пункту, к</w:t>
      </w:r>
      <w:r w:rsidRPr="004848B2">
        <w:t>оличество</w:t>
      </w:r>
      <w:r>
        <w:t xml:space="preserve"> завершенных</w:t>
      </w:r>
      <w:r w:rsidRPr="00B27153">
        <w:t xml:space="preserve">  </w:t>
      </w:r>
      <w:r>
        <w:t>школьных восстановительных конференций.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Аналогично предыдущему пункту, к</w:t>
      </w:r>
      <w:r w:rsidRPr="004848B2">
        <w:t>оличество</w:t>
      </w:r>
      <w:r>
        <w:t xml:space="preserve"> завершенных</w:t>
      </w:r>
      <w:r w:rsidRPr="00B27153">
        <w:t xml:space="preserve">  </w:t>
      </w:r>
      <w:r>
        <w:t>Кругов сообщества.</w:t>
      </w:r>
    </w:p>
    <w:p w:rsidR="00CA381E" w:rsidRPr="000A4D35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Аналогично предыдущему пункту, к</w:t>
      </w:r>
      <w:r w:rsidRPr="004848B2">
        <w:t>оличество</w:t>
      </w:r>
      <w:r>
        <w:t xml:space="preserve"> завершенных</w:t>
      </w:r>
      <w:r w:rsidRPr="00B27153">
        <w:t xml:space="preserve">  </w:t>
      </w:r>
      <w:r>
        <w:t>п</w:t>
      </w:r>
      <w:r w:rsidRPr="00E15865">
        <w:t>рофилактических «</w:t>
      </w:r>
      <w:r>
        <w:t>К</w:t>
      </w:r>
      <w:r w:rsidRPr="00E15865">
        <w:t>ругов» по потенциально конфликтным ситуациям</w:t>
      </w:r>
      <w:r w:rsidRPr="000A4D35">
        <w:t>, когда конфликта нет, но есть потенциальный  риск его возникновения (формирование нового класса, приход новичка в класс, межэтническая напряженность и т.п.).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Аналогично предыдущему пункту, другие варианты, не указанные в  столбцах 11-14. (если нет, то ставится «0»)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 xml:space="preserve"> Общее к</w:t>
      </w:r>
      <w:r w:rsidRPr="004848B2">
        <w:t>оличество</w:t>
      </w:r>
      <w:r>
        <w:t xml:space="preserve"> завершенных программ.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 xml:space="preserve"> К</w:t>
      </w:r>
      <w:r w:rsidRPr="004848B2">
        <w:t>оличество</w:t>
      </w:r>
      <w:r>
        <w:t xml:space="preserve"> </w:t>
      </w:r>
      <w:r w:rsidRPr="00DE10EE">
        <w:t>случаев, рассматриваемых совместно школьной службой примирения с участ</w:t>
      </w:r>
      <w:r w:rsidRPr="00DE10EE">
        <w:t>и</w:t>
      </w:r>
      <w:r w:rsidRPr="00DE10EE">
        <w:t>ем специалистов из территориальных служб примирения</w:t>
      </w:r>
      <w:r>
        <w:t>.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Число участников программ  (медиаций, Кругов сообщества, и пр.) не включая медиаторов (ведущих программ). В данном столбце число взрослых участников (родители, педагоги, а</w:t>
      </w:r>
      <w:r>
        <w:t>д</w:t>
      </w:r>
      <w:r>
        <w:t>министраторы,  специалисты и т.д.)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>Число участников программ  (медиаций, Кругов сообщества, и пр.) не включая медиаторов (ведущих программ). В данном столбце число несовершеннолетних участников (учащиеся, их друзья и т.д.)</w:t>
      </w:r>
    </w:p>
    <w:p w:rsidR="00CA381E" w:rsidRDefault="00CA381E" w:rsidP="00CA381E">
      <w:pPr>
        <w:numPr>
          <w:ilvl w:val="0"/>
          <w:numId w:val="1"/>
        </w:numPr>
        <w:tabs>
          <w:tab w:val="clear" w:pos="720"/>
        </w:tabs>
        <w:ind w:left="284"/>
      </w:pPr>
      <w:r>
        <w:t xml:space="preserve"> Всего (общее число участников)  -  сумма столбцов  18 и 19.</w:t>
      </w:r>
    </w:p>
    <w:p w:rsidR="00CA381E" w:rsidRDefault="00CA381E"/>
    <w:sectPr w:rsidR="00CA381E" w:rsidSect="00CA381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D1F"/>
    <w:multiLevelType w:val="hybridMultilevel"/>
    <w:tmpl w:val="DD40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3503E"/>
    <w:rsid w:val="0036716B"/>
    <w:rsid w:val="006C6173"/>
    <w:rsid w:val="00B3503E"/>
    <w:rsid w:val="00B45F56"/>
    <w:rsid w:val="00BE7E4D"/>
    <w:rsid w:val="00CA381E"/>
    <w:rsid w:val="00E8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3E"/>
    <w:pPr>
      <w:spacing w:after="0" w:line="240" w:lineRule="auto"/>
    </w:pPr>
    <w:rPr>
      <w:rFonts w:ascii="Times New Roman" w:eastAsia="MS Mincho" w:hAnsi="Times New Roman" w:cs="Times New Roman"/>
      <w:sz w:val="24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B35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03E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a3">
    <w:name w:val="Hyperlink"/>
    <w:basedOn w:val="a0"/>
    <w:rsid w:val="00CA3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2018-09-24T07:25:00Z</dcterms:created>
  <dcterms:modified xsi:type="dcterms:W3CDTF">2018-09-24T07:25:00Z</dcterms:modified>
</cp:coreProperties>
</file>